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C7E" w:rsidRPr="0030528F" w14:paraId="78A63906" w14:textId="77777777" w:rsidTr="0030528F">
        <w:trPr>
          <w:trHeight w:val="2967"/>
        </w:trPr>
        <w:tc>
          <w:tcPr>
            <w:tcW w:w="9062" w:type="dxa"/>
            <w:vAlign w:val="center"/>
          </w:tcPr>
          <w:p w14:paraId="3A4B5FC7" w14:textId="716B117E" w:rsidR="00020C7E" w:rsidRPr="0030528F" w:rsidRDefault="00EB094A" w:rsidP="0030528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color w:val="212529"/>
                <w:sz w:val="24"/>
                <w:szCs w:val="24"/>
                <w:u w:val="single"/>
                <w:shd w:val="clear" w:color="auto" w:fill="FFFFFF"/>
              </w:rPr>
            </w:pP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6331 sayılı kanun kapsamında b</w:t>
            </w:r>
            <w:r w:rsidR="00020C7E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ursiyerin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20C7E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başına herhangi bir iş kazası gelmesi durumunda, bu iş kazasının SGK’ya 3 (üç) iş günü içinde bildirilmesi gerektiğinden dolayı, “</w:t>
            </w:r>
            <w:r w:rsidR="009A5FD9" w:rsidRPr="0030528F">
              <w:rPr>
                <w:rFonts w:cstheme="minorHAnsi"/>
                <w:sz w:val="24"/>
                <w:szCs w:val="24"/>
              </w:rPr>
              <w:t>Kaza - Meslek Hastalığı Raporlama ve Araştırma Kayıt Formu</w:t>
            </w:r>
            <w:r w:rsidR="00020C7E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”nun </w:t>
            </w:r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(</w:t>
            </w:r>
            <w:hyperlink r:id="rId7" w:history="1">
              <w:r w:rsidR="009A5FD9" w:rsidRPr="0030528F">
                <w:rPr>
                  <w:rStyle w:val="Kpr"/>
                  <w:rFonts w:cstheme="minorHAnsi"/>
                  <w:sz w:val="24"/>
                  <w:szCs w:val="24"/>
                  <w:shd w:val="clear" w:color="auto" w:fill="FFFFFF"/>
                </w:rPr>
                <w:t>https://bapk.sakarya.edu.tr/sites/bapk.sakarya.edu.tr/file/Kaza_Meslek_Hastaligi_Raporlama_ve_Arastirma_Kayit_Formu.pdf</w:t>
              </w:r>
            </w:hyperlink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) </w:t>
            </w:r>
            <w:r w:rsidR="00020C7E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doldurularak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020C7E" w:rsidRPr="0030528F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>olay günü veya en geç ertesi gün</w:t>
            </w:r>
            <w:r w:rsidR="0030528F" w:rsidRPr="0030528F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BAPK birimine</w:t>
            </w:r>
            <w:r w:rsidR="00020C7E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teslim edilmesi gerektiğini ve bu formun </w:t>
            </w:r>
            <w:r w:rsidR="00020C7E" w:rsidRPr="0030528F">
              <w:rPr>
                <w:rFonts w:cstheme="minorHAnsi"/>
                <w:b/>
                <w:color w:val="212529"/>
                <w:sz w:val="24"/>
                <w:szCs w:val="24"/>
                <w:shd w:val="clear" w:color="auto" w:fill="FFFFFF"/>
              </w:rPr>
              <w:t>zamanında</w:t>
            </w:r>
            <w:r w:rsidR="0030528F" w:rsidRPr="0030528F">
              <w:rPr>
                <w:rFonts w:cstheme="minorHAnsi"/>
                <w:b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A5FD9" w:rsidRPr="0030528F">
              <w:rPr>
                <w:rFonts w:cstheme="minorHAnsi"/>
                <w:b/>
                <w:bCs/>
                <w:color w:val="212529"/>
                <w:sz w:val="24"/>
                <w:szCs w:val="24"/>
                <w:u w:val="single"/>
                <w:shd w:val="clear" w:color="auto" w:fill="FFFFFF"/>
              </w:rPr>
              <w:t>BAPK birimine</w:t>
            </w:r>
            <w:r w:rsidR="00020C7E" w:rsidRPr="0030528F">
              <w:rPr>
                <w:rFonts w:cstheme="minorHAnsi"/>
                <w:b/>
                <w:bCs/>
                <w:color w:val="212529"/>
                <w:sz w:val="24"/>
                <w:szCs w:val="24"/>
                <w:u w:val="single"/>
                <w:shd w:val="clear" w:color="auto" w:fill="FFFFFF"/>
              </w:rPr>
              <w:t xml:space="preserve"> teslim edilmemesi durumunda doğacak tüm sorumlulukların </w:t>
            </w:r>
            <w:r w:rsidR="00020C7E" w:rsidRPr="0030528F">
              <w:rPr>
                <w:rFonts w:cstheme="minorHAnsi"/>
                <w:bCs/>
                <w:color w:val="212529"/>
                <w:sz w:val="24"/>
                <w:szCs w:val="24"/>
                <w:shd w:val="clear" w:color="auto" w:fill="FFFFFF"/>
              </w:rPr>
              <w:t>tarafıma ait olduğunu biliyor ve kabul ediyorum.</w:t>
            </w:r>
          </w:p>
        </w:tc>
      </w:tr>
      <w:tr w:rsidR="00020C7E" w:rsidRPr="0030528F" w14:paraId="6911EE55" w14:textId="77777777" w:rsidTr="0030528F">
        <w:trPr>
          <w:trHeight w:val="2976"/>
        </w:trPr>
        <w:tc>
          <w:tcPr>
            <w:tcW w:w="9062" w:type="dxa"/>
            <w:vAlign w:val="center"/>
          </w:tcPr>
          <w:p w14:paraId="753ABA81" w14:textId="2F1F4080" w:rsidR="00020C7E" w:rsidRPr="0030528F" w:rsidRDefault="00020C7E" w:rsidP="0030528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Ayrıca, hastalık veya kaza (kazanın mesai saati dışında olması, kaza raporunun sehven “iş kazası” olarak yazılması veya üniversitenin rapordan haberdar olmaması durumları da dahil olmak üzere) sebebiyle sağlık kuruluşlarınca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bursiyerlere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verilen sağlık raporlarının,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0528F">
              <w:rPr>
                <w:rFonts w:cstheme="minorHAnsi"/>
                <w:b/>
                <w:bCs/>
                <w:color w:val="212529"/>
                <w:sz w:val="24"/>
                <w:szCs w:val="24"/>
                <w:u w:val="single"/>
                <w:shd w:val="clear" w:color="auto" w:fill="FFFFFF"/>
              </w:rPr>
              <w:t>mümkünse rapor tarihinde veya en geç ertesi gün</w:t>
            </w:r>
            <w:r w:rsidR="0030528F" w:rsidRPr="0030528F">
              <w:rPr>
                <w:rFonts w:cstheme="minorHAnsi"/>
                <w:b/>
                <w:bCs/>
                <w:color w:val="212529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bursi</w:t>
            </w:r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yer/bursiyer</w:t>
            </w:r>
            <w:r w:rsidR="0030528F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yakını veya proje y</w:t>
            </w: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ürü</w:t>
            </w:r>
            <w:r w:rsidR="009A5FD9"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tücüsü tarafından BAPK birimine</w:t>
            </w:r>
            <w:r w:rsidRPr="0030528F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elden teslim edilmesi veya elektronik olarak gönderilmesi gerektiğini ve </w:t>
            </w:r>
            <w:r w:rsidRPr="0030528F">
              <w:rPr>
                <w:rFonts w:cstheme="minorHAnsi"/>
                <w:b/>
                <w:color w:val="212529"/>
                <w:sz w:val="24"/>
                <w:szCs w:val="24"/>
                <w:shd w:val="clear" w:color="auto" w:fill="FFFFFF"/>
              </w:rPr>
              <w:t>zamanında</w:t>
            </w:r>
            <w:r w:rsidR="0030528F" w:rsidRPr="0030528F">
              <w:rPr>
                <w:rFonts w:cstheme="minorHAnsi"/>
                <w:b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0528F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BAPK biriminin bilgilendirilmemesi durumunda doğacak </w:t>
            </w:r>
            <w:r w:rsidRPr="0030528F">
              <w:rPr>
                <w:rFonts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tüm sorumlulukların </w:t>
            </w:r>
            <w:r w:rsidRPr="0030528F">
              <w:rPr>
                <w:rFonts w:cstheme="minorHAnsi"/>
                <w:bCs/>
                <w:color w:val="212529"/>
                <w:sz w:val="24"/>
                <w:szCs w:val="24"/>
                <w:shd w:val="clear" w:color="auto" w:fill="FFFFFF"/>
              </w:rPr>
              <w:t>tarafıma ait olduğunu biliyor ve kabul ediyorum.</w:t>
            </w:r>
          </w:p>
        </w:tc>
      </w:tr>
      <w:tr w:rsidR="006D26C2" w:rsidRPr="0030528F" w14:paraId="0FD7A59E" w14:textId="77777777" w:rsidTr="0030528F">
        <w:trPr>
          <w:trHeight w:val="2238"/>
        </w:trPr>
        <w:tc>
          <w:tcPr>
            <w:tcW w:w="9062" w:type="dxa"/>
            <w:vAlign w:val="center"/>
          </w:tcPr>
          <w:p w14:paraId="6FF11C4D" w14:textId="77777777" w:rsidR="006D26C2" w:rsidRPr="0030528F" w:rsidRDefault="00A135C3" w:rsidP="0030528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30528F">
              <w:rPr>
                <w:rFonts w:cstheme="minorHAnsi"/>
                <w:sz w:val="24"/>
                <w:szCs w:val="24"/>
              </w:rPr>
              <w:t xml:space="preserve">Bursiyer ödemesinin başladığı aydan itibaren, takip eden aylarda Bursiyer Aylık Beyan Formu, Güncel Tarihli Öğrenci Belgesi, Güncel Tarihli Müstehaklık Belgesi ve Kimlik Fotokopisini her ayın </w:t>
            </w:r>
            <w:r w:rsidR="00182E5C" w:rsidRPr="0030528F">
              <w:rPr>
                <w:rFonts w:cstheme="minorHAnsi"/>
                <w:sz w:val="24"/>
                <w:szCs w:val="24"/>
              </w:rPr>
              <w:t>1</w:t>
            </w:r>
            <w:r w:rsidRPr="0030528F">
              <w:rPr>
                <w:rFonts w:cstheme="minorHAnsi"/>
                <w:sz w:val="24"/>
                <w:szCs w:val="24"/>
              </w:rPr>
              <w:t xml:space="preserve">5’ine kadar BAPK Birimine ileteceğimi ve belgelerin </w:t>
            </w:r>
            <w:r w:rsidR="00182E5C" w:rsidRPr="0030528F">
              <w:rPr>
                <w:rFonts w:cstheme="minorHAnsi"/>
                <w:sz w:val="24"/>
                <w:szCs w:val="24"/>
              </w:rPr>
              <w:t xml:space="preserve">belirtilen süre içerisinde </w:t>
            </w:r>
            <w:r w:rsidRPr="0030528F">
              <w:rPr>
                <w:rFonts w:cstheme="minorHAnsi"/>
                <w:sz w:val="24"/>
                <w:szCs w:val="24"/>
              </w:rPr>
              <w:t>iletilmemesi durumunda ilgili ay için burs ödemesi yapılmayacağını ve daha sonraki aylarda toplu ödeme gerçekleştirilmeyeceğini biliyor ve kabul ediyorum.</w:t>
            </w:r>
          </w:p>
        </w:tc>
      </w:tr>
      <w:tr w:rsidR="00020C7E" w:rsidRPr="0030528F" w14:paraId="72798972" w14:textId="77777777" w:rsidTr="0030528F">
        <w:trPr>
          <w:trHeight w:val="853"/>
        </w:trPr>
        <w:tc>
          <w:tcPr>
            <w:tcW w:w="9062" w:type="dxa"/>
            <w:vAlign w:val="center"/>
          </w:tcPr>
          <w:p w14:paraId="5EF96AC0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28F">
              <w:rPr>
                <w:rFonts w:cstheme="minorHAnsi"/>
                <w:b/>
                <w:sz w:val="24"/>
                <w:szCs w:val="24"/>
              </w:rPr>
              <w:t>Tarih:</w:t>
            </w:r>
          </w:p>
          <w:p w14:paraId="2181251D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0C7E" w:rsidRPr="0030528F" w14:paraId="4D2C0651" w14:textId="77777777" w:rsidTr="0030528F">
        <w:trPr>
          <w:trHeight w:val="837"/>
        </w:trPr>
        <w:tc>
          <w:tcPr>
            <w:tcW w:w="9062" w:type="dxa"/>
            <w:vAlign w:val="center"/>
          </w:tcPr>
          <w:p w14:paraId="3B9AD84B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28F">
              <w:rPr>
                <w:rFonts w:cstheme="minorHAnsi"/>
                <w:b/>
                <w:sz w:val="24"/>
                <w:szCs w:val="24"/>
              </w:rPr>
              <w:t>Unvan Ad Soyad:</w:t>
            </w:r>
          </w:p>
          <w:p w14:paraId="3E689514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20C7E" w:rsidRPr="0030528F" w14:paraId="3546472E" w14:textId="77777777" w:rsidTr="0030528F">
        <w:trPr>
          <w:trHeight w:val="847"/>
        </w:trPr>
        <w:tc>
          <w:tcPr>
            <w:tcW w:w="9062" w:type="dxa"/>
            <w:vAlign w:val="center"/>
          </w:tcPr>
          <w:p w14:paraId="2CFB3A67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528F">
              <w:rPr>
                <w:rFonts w:cstheme="minorHAnsi"/>
                <w:b/>
                <w:sz w:val="24"/>
                <w:szCs w:val="24"/>
              </w:rPr>
              <w:t>İmza:</w:t>
            </w:r>
          </w:p>
          <w:p w14:paraId="3CFC4740" w14:textId="77777777" w:rsidR="00020C7E" w:rsidRPr="0030528F" w:rsidRDefault="00020C7E" w:rsidP="00305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4257CE3" w14:textId="26DDB35C" w:rsidR="00020C7E" w:rsidRDefault="00020C7E" w:rsidP="0030528F">
      <w:pPr>
        <w:rPr>
          <w:rFonts w:cstheme="minorHAnsi"/>
          <w:b/>
          <w:sz w:val="24"/>
          <w:szCs w:val="24"/>
        </w:rPr>
      </w:pPr>
    </w:p>
    <w:sectPr w:rsidR="00020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8570" w14:textId="77777777" w:rsidR="00D705C8" w:rsidRDefault="00D705C8" w:rsidP="0030528F">
      <w:pPr>
        <w:spacing w:after="0" w:line="240" w:lineRule="auto"/>
      </w:pPr>
      <w:r>
        <w:separator/>
      </w:r>
    </w:p>
  </w:endnote>
  <w:endnote w:type="continuationSeparator" w:id="0">
    <w:p w14:paraId="61CF4652" w14:textId="77777777" w:rsidR="00D705C8" w:rsidRDefault="00D705C8" w:rsidP="0030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891B" w14:textId="77777777" w:rsidR="0030528F" w:rsidRDefault="003052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B026" w14:textId="77777777" w:rsidR="0030528F" w:rsidRDefault="003052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F17F" w14:textId="77777777" w:rsidR="0030528F" w:rsidRDefault="003052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C02D" w14:textId="77777777" w:rsidR="00D705C8" w:rsidRDefault="00D705C8" w:rsidP="0030528F">
      <w:pPr>
        <w:spacing w:after="0" w:line="240" w:lineRule="auto"/>
      </w:pPr>
      <w:r>
        <w:separator/>
      </w:r>
    </w:p>
  </w:footnote>
  <w:footnote w:type="continuationSeparator" w:id="0">
    <w:p w14:paraId="5466D7C3" w14:textId="77777777" w:rsidR="00D705C8" w:rsidRDefault="00D705C8" w:rsidP="0030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536A" w14:textId="77777777" w:rsidR="0030528F" w:rsidRDefault="003052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00"/>
      <w:gridCol w:w="4918"/>
      <w:gridCol w:w="1854"/>
    </w:tblGrid>
    <w:tr w:rsidR="0030528F" w14:paraId="78A1DB9A" w14:textId="77777777" w:rsidTr="006E1CA3">
      <w:trPr>
        <w:trHeight w:val="561"/>
        <w:jc w:val="center"/>
      </w:trPr>
      <w:tc>
        <w:tcPr>
          <w:tcW w:w="1149" w:type="pct"/>
          <w:vMerge w:val="restart"/>
          <w:tcBorders>
            <w:top w:val="nil"/>
            <w:left w:val="nil"/>
            <w:bottom w:val="single" w:sz="18" w:space="0" w:color="2F5496" w:themeColor="accent5" w:themeShade="BF"/>
            <w:right w:val="nil"/>
          </w:tcBorders>
        </w:tcPr>
        <w:p w14:paraId="2E9630FD" w14:textId="77777777" w:rsidR="0030528F" w:rsidRDefault="0030528F" w:rsidP="0030528F">
          <w:pPr>
            <w:rPr>
              <w:rFonts w:asciiTheme="majorBidi" w:hAnsiTheme="majorBidi" w:cstheme="majorBidi"/>
              <w:sz w:val="4"/>
              <w:szCs w:val="4"/>
            </w:rPr>
          </w:pPr>
          <w:bookmarkStart w:id="0" w:name="_Hlk155776072"/>
        </w:p>
        <w:p w14:paraId="52E21E3E" w14:textId="77777777" w:rsidR="0030528F" w:rsidRDefault="0030528F" w:rsidP="0030528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7AF238A" w14:textId="77777777" w:rsidR="0030528F" w:rsidRDefault="0030528F" w:rsidP="0030528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4F33801" w14:textId="77777777" w:rsidR="0030528F" w:rsidRDefault="0030528F" w:rsidP="0030528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1B85429" w14:textId="77777777" w:rsidR="0030528F" w:rsidRDefault="0030528F" w:rsidP="0030528F">
          <w:pPr>
            <w:rPr>
              <w:rFonts w:asciiTheme="majorBidi" w:hAnsiTheme="majorBidi" w:cstheme="majorBidi"/>
              <w:sz w:val="4"/>
              <w:szCs w:val="4"/>
            </w:rPr>
          </w:pPr>
          <w:r>
            <w:rPr>
              <w:rFonts w:asciiTheme="majorBidi" w:hAnsiTheme="majorBidi" w:cstheme="majorBidi"/>
              <w:noProof/>
            </w:rPr>
            <w:drawing>
              <wp:inline distT="0" distB="0" distL="0" distR="0" wp14:anchorId="3834A86B" wp14:editId="572DE4A4">
                <wp:extent cx="1362075" cy="495300"/>
                <wp:effectExtent l="0" t="0" r="9525" b="0"/>
                <wp:docPr id="287593120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93120" name="Resim 1" descr="metin, yazı tipi, logo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37815B8C" w14:textId="77777777" w:rsidR="0030528F" w:rsidRDefault="0030528F" w:rsidP="0030528F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27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sz w:val="19"/>
              <w:szCs w:val="19"/>
            </w:rPr>
            <w:t>0</w:t>
          </w:r>
        </w:p>
      </w:tc>
    </w:tr>
    <w:tr w:rsidR="0030528F" w14:paraId="2918D1C8" w14:textId="77777777" w:rsidTr="006E1CA3">
      <w:trPr>
        <w:trHeight w:val="255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2F5496" w:themeColor="accent5" w:themeShade="BF"/>
            <w:right w:val="nil"/>
          </w:tcBorders>
          <w:vAlign w:val="center"/>
          <w:hideMark/>
        </w:tcPr>
        <w:p w14:paraId="7472A9AA" w14:textId="77777777" w:rsidR="0030528F" w:rsidRDefault="0030528F" w:rsidP="0030528F">
          <w:pPr>
            <w:spacing w:line="240" w:lineRule="auto"/>
            <w:rPr>
              <w:rFonts w:asciiTheme="majorBidi" w:hAnsiTheme="majorBidi" w:cstheme="majorBidi"/>
              <w:color w:val="000000"/>
              <w:sz w:val="4"/>
              <w:szCs w:val="4"/>
            </w:rPr>
          </w:pPr>
        </w:p>
      </w:tc>
      <w:tc>
        <w:tcPr>
          <w:tcW w:w="2770" w:type="pct"/>
          <w:tcBorders>
            <w:top w:val="nil"/>
            <w:left w:val="nil"/>
            <w:bottom w:val="single" w:sz="18" w:space="0" w:color="2F5496" w:themeColor="accent5" w:themeShade="BF"/>
            <w:right w:val="nil"/>
          </w:tcBorders>
          <w:vAlign w:val="bottom"/>
          <w:hideMark/>
        </w:tcPr>
        <w:p w14:paraId="6DE3CF5F" w14:textId="77777777" w:rsidR="0030528F" w:rsidRDefault="0030528F" w:rsidP="0030528F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57977003" w14:textId="1B545864" w:rsidR="0030528F" w:rsidRPr="0030528F" w:rsidRDefault="0030528F" w:rsidP="0030528F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Cs w:val="40"/>
            </w:rPr>
          </w:pPr>
          <w:r w:rsidRPr="0030528F">
            <w:rPr>
              <w:rFonts w:asciiTheme="majorBidi" w:hAnsiTheme="majorBidi" w:cstheme="majorBidi"/>
              <w:b/>
              <w:bCs/>
              <w:color w:val="2F5496" w:themeColor="accent5" w:themeShade="BF"/>
              <w:szCs w:val="40"/>
            </w:rPr>
            <w:t>İş Sağlığı ve Güvenliği Kur</w:t>
          </w:r>
          <w:r w:rsidR="001B530F">
            <w:rPr>
              <w:rFonts w:asciiTheme="majorBidi" w:hAnsiTheme="majorBidi" w:cstheme="majorBidi"/>
              <w:b/>
              <w:bCs/>
              <w:color w:val="2F5496" w:themeColor="accent5" w:themeShade="BF"/>
              <w:szCs w:val="40"/>
            </w:rPr>
            <w:t>a</w:t>
          </w:r>
          <w:r w:rsidRPr="0030528F">
            <w:rPr>
              <w:rFonts w:asciiTheme="majorBidi" w:hAnsiTheme="majorBidi" w:cstheme="majorBidi"/>
              <w:b/>
              <w:bCs/>
              <w:color w:val="2F5496" w:themeColor="accent5" w:themeShade="BF"/>
              <w:szCs w:val="40"/>
            </w:rPr>
            <w:t>lları Bildirim Formu</w:t>
          </w:r>
        </w:p>
        <w:p w14:paraId="67B110B5" w14:textId="77777777" w:rsidR="0030528F" w:rsidRPr="00110601" w:rsidRDefault="0030528F" w:rsidP="0030528F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0528F">
            <w:rPr>
              <w:rFonts w:asciiTheme="majorBidi" w:hAnsiTheme="majorBidi" w:cstheme="majorBidi"/>
              <w:b/>
              <w:bCs/>
              <w:color w:val="2F5496" w:themeColor="accent5" w:themeShade="BF"/>
              <w:szCs w:val="40"/>
            </w:rPr>
            <w:t>(Proje Yürütücüsü)</w:t>
          </w:r>
        </w:p>
      </w:tc>
      <w:tc>
        <w:tcPr>
          <w:tcW w:w="1081" w:type="pct"/>
          <w:tcBorders>
            <w:top w:val="nil"/>
            <w:left w:val="nil"/>
            <w:bottom w:val="single" w:sz="18" w:space="0" w:color="2F5496" w:themeColor="accent5" w:themeShade="BF"/>
            <w:right w:val="nil"/>
          </w:tcBorders>
          <w:noWrap/>
        </w:tcPr>
        <w:p w14:paraId="0EDAE5FE" w14:textId="77777777" w:rsidR="0030528F" w:rsidRDefault="0030528F" w:rsidP="0030528F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EB60CDF" w14:textId="77777777" w:rsidR="0030528F" w:rsidRDefault="0030528F" w:rsidP="0030528F">
          <w:pPr>
            <w:jc w:val="right"/>
            <w:rPr>
              <w:rFonts w:asciiTheme="majorBidi" w:eastAsia="Arial" w:hAnsiTheme="majorBidi" w:cstheme="majorBidi"/>
              <w:color w:val="000000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110601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>1</w:t>
          </w:r>
        </w:p>
      </w:tc>
    </w:tr>
    <w:bookmarkEnd w:id="0"/>
  </w:tbl>
  <w:p w14:paraId="6E2CB67B" w14:textId="77777777" w:rsidR="0030528F" w:rsidRDefault="003052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0928" w14:textId="77777777" w:rsidR="0030528F" w:rsidRDefault="003052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E6F50"/>
    <w:multiLevelType w:val="hybridMultilevel"/>
    <w:tmpl w:val="D59A073E"/>
    <w:lvl w:ilvl="0" w:tplc="25AA6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7E"/>
    <w:rsid w:val="00020C7E"/>
    <w:rsid w:val="00182E5C"/>
    <w:rsid w:val="001B530F"/>
    <w:rsid w:val="0030528F"/>
    <w:rsid w:val="005F7F1B"/>
    <w:rsid w:val="006D26C2"/>
    <w:rsid w:val="008934E5"/>
    <w:rsid w:val="009A5FD9"/>
    <w:rsid w:val="009B722B"/>
    <w:rsid w:val="00A135C3"/>
    <w:rsid w:val="00AD5D08"/>
    <w:rsid w:val="00D705C8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2116"/>
  <w15:chartTrackingRefBased/>
  <w15:docId w15:val="{C13DF974-63D9-457F-9A47-8C41BB4D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C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0C7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A5FD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22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528F"/>
  </w:style>
  <w:style w:type="paragraph" w:styleId="AltBilgi">
    <w:name w:val="footer"/>
    <w:basedOn w:val="Normal"/>
    <w:link w:val="AltBilgiChar"/>
    <w:uiPriority w:val="99"/>
    <w:unhideWhenUsed/>
    <w:rsid w:val="003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528F"/>
  </w:style>
  <w:style w:type="character" w:styleId="Gl">
    <w:name w:val="Strong"/>
    <w:basedOn w:val="VarsaylanParagrafYazTipi"/>
    <w:uiPriority w:val="22"/>
    <w:qFormat/>
    <w:rsid w:val="0030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apk.sakarya.edu.tr/sites/bapk.sakarya.edu.tr/file/Kaza_Meslek_Hastaligi_Raporlama_ve_Arastirma_Kayit_Formu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ESRA ÖZTÜRK</cp:lastModifiedBy>
  <cp:revision>3</cp:revision>
  <cp:lastPrinted>2023-12-29T06:55:00Z</cp:lastPrinted>
  <dcterms:created xsi:type="dcterms:W3CDTF">2024-01-10T07:56:00Z</dcterms:created>
  <dcterms:modified xsi:type="dcterms:W3CDTF">2024-01-10T08:22:00Z</dcterms:modified>
</cp:coreProperties>
</file>