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6ECB" w:rsidRPr="00177969" w:rsidRDefault="00D86ECB" w:rsidP="00D86ECB">
      <w:pPr>
        <w:autoSpaceDE w:val="0"/>
        <w:autoSpaceDN w:val="0"/>
        <w:adjustRightInd w:val="0"/>
        <w:spacing w:line="240" w:lineRule="auto"/>
        <w:jc w:val="center"/>
        <w:rPr>
          <w:rFonts w:ascii="Times New Roman" w:hAnsi="Times New Roman" w:cs="Times New Roman"/>
          <w:b/>
          <w:bCs/>
        </w:rPr>
      </w:pPr>
      <w:r w:rsidRPr="00177969">
        <w:rPr>
          <w:rFonts w:ascii="Times New Roman" w:hAnsi="Times New Roman" w:cs="Times New Roman"/>
          <w:b/>
          <w:bCs/>
        </w:rPr>
        <w:t xml:space="preserve">TEKNİK ŞARTNAME HAZIRLARKEN </w:t>
      </w:r>
      <w:bookmarkStart w:id="0" w:name="_GoBack"/>
      <w:bookmarkEnd w:id="0"/>
      <w:r w:rsidRPr="00177969">
        <w:rPr>
          <w:rFonts w:ascii="Times New Roman" w:hAnsi="Times New Roman" w:cs="Times New Roman"/>
          <w:b/>
          <w:bCs/>
        </w:rPr>
        <w:t>DİKKAT EDİLMESİ GEREKEN BAZI HUSUSLAR</w:t>
      </w:r>
    </w:p>
    <w:p w:rsidR="00D86ECB" w:rsidRPr="00177969" w:rsidRDefault="00D86ECB" w:rsidP="00D86ECB">
      <w:pPr>
        <w:autoSpaceDE w:val="0"/>
        <w:autoSpaceDN w:val="0"/>
        <w:adjustRightInd w:val="0"/>
        <w:spacing w:line="240" w:lineRule="auto"/>
        <w:jc w:val="center"/>
        <w:rPr>
          <w:rFonts w:ascii="Times New Roman" w:hAnsi="Times New Roman" w:cs="Times New Roman"/>
          <w:b/>
          <w:bCs/>
        </w:rPr>
      </w:pP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bCs/>
        </w:rPr>
      </w:pPr>
      <w:r w:rsidRPr="00177969">
        <w:rPr>
          <w:rFonts w:ascii="Times New Roman" w:hAnsi="Times New Roman" w:cs="Times New Roman"/>
          <w:bCs/>
        </w:rPr>
        <w:t>Alınacak ürün veya hizmetin taşıması gereken özelliklerin detaylı (malzemeden beklenen performans, çalışma şartları, kullanım yeri ve amacı) belirtilmesi gerekir.</w:t>
      </w: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bCs/>
        </w:rPr>
      </w:pPr>
      <w:r w:rsidRPr="00177969">
        <w:rPr>
          <w:rFonts w:ascii="Times New Roman" w:hAnsi="Times New Roman" w:cs="Times New Roman"/>
          <w:bCs/>
        </w:rPr>
        <w:t xml:space="preserve">Hizmet alımlarında uygulama yeri, kapsamı, soru formu, etik raporu, analiz sonuçları vb. ayrıntılı olarak belirtilmelidir. </w:t>
      </w: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bCs/>
        </w:rPr>
      </w:pPr>
      <w:r w:rsidRPr="00177969">
        <w:rPr>
          <w:rFonts w:ascii="Times New Roman" w:hAnsi="Times New Roman" w:cs="Times New Roman"/>
          <w:bCs/>
        </w:rPr>
        <w:t xml:space="preserve">Belli bir marka, model vb. ürün tanımlanmamalı ve belirli bir firmaya yönelik özellik ve tanımlamalara yer verilmemelidir. </w:t>
      </w: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bCs/>
        </w:rPr>
      </w:pPr>
      <w:r w:rsidRPr="00177969">
        <w:rPr>
          <w:rFonts w:ascii="Times New Roman" w:hAnsi="Times New Roman" w:cs="Times New Roman"/>
          <w:bCs/>
        </w:rPr>
        <w:t>Var olan bir cihazın parça veya parçalarının istenilmesi hallerinde "veya dengi" ifadesine yer verilmek şartıyla marka veya model belirtilebilir.</w:t>
      </w: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bCs/>
        </w:rPr>
      </w:pPr>
      <w:r w:rsidRPr="00177969">
        <w:rPr>
          <w:rFonts w:ascii="Times New Roman" w:hAnsi="Times New Roman" w:cs="Times New Roman"/>
          <w:bCs/>
        </w:rPr>
        <w:t>Ölçü birimleri için Uluslararası Ölçü Birimleri Sistemine uygun birimler kullanılmalıdır</w:t>
      </w: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b/>
          <w:bCs/>
        </w:rPr>
      </w:pPr>
      <w:r w:rsidRPr="00177969">
        <w:rPr>
          <w:rFonts w:ascii="Times New Roman" w:hAnsi="Times New Roman" w:cs="Times New Roman"/>
          <w:bCs/>
        </w:rPr>
        <w:t>Çevre şartlarından etkilenebilecek malzeme için (elektronik, optik ve elektro optik cihazlar, araç, teçhizat, kimyasal maddeler, canlı deney hayvanı ve bakteri kültürü vb.) çevre şartları ile ilgili istekler bunların hangi şartlarda muayene edileceği hususu ile birlikte teknik şartnamelere yazılmalıdır.</w:t>
      </w: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b/>
          <w:bCs/>
        </w:rPr>
      </w:pPr>
      <w:r w:rsidRPr="00177969">
        <w:rPr>
          <w:rFonts w:ascii="Times New Roman" w:hAnsi="Times New Roman" w:cs="Times New Roman"/>
          <w:bCs/>
        </w:rPr>
        <w:t xml:space="preserve">Proje başvurusu esnasında ibraz edilen ile </w:t>
      </w:r>
      <w:proofErr w:type="spellStart"/>
      <w:r w:rsidRPr="00177969">
        <w:rPr>
          <w:rFonts w:ascii="Times New Roman" w:hAnsi="Times New Roman" w:cs="Times New Roman"/>
          <w:bCs/>
        </w:rPr>
        <w:t>satınalma</w:t>
      </w:r>
      <w:proofErr w:type="spellEnd"/>
      <w:r w:rsidRPr="00177969">
        <w:rPr>
          <w:rFonts w:ascii="Times New Roman" w:hAnsi="Times New Roman" w:cs="Times New Roman"/>
          <w:bCs/>
        </w:rPr>
        <w:t xml:space="preserve"> esnasında firmalardan alınan teknik şartname aynı olmalıdır. </w:t>
      </w:r>
    </w:p>
    <w:p w:rsidR="00D86ECB" w:rsidRPr="00177969" w:rsidRDefault="00D86ECB" w:rsidP="00D86ECB">
      <w:pPr>
        <w:pStyle w:val="ListeParagraf"/>
        <w:widowControl/>
        <w:numPr>
          <w:ilvl w:val="0"/>
          <w:numId w:val="3"/>
        </w:numPr>
        <w:autoSpaceDE w:val="0"/>
        <w:autoSpaceDN w:val="0"/>
        <w:adjustRightInd w:val="0"/>
        <w:spacing w:line="240" w:lineRule="auto"/>
        <w:jc w:val="both"/>
        <w:rPr>
          <w:rFonts w:ascii="Times New Roman" w:hAnsi="Times New Roman" w:cs="Times New Roman"/>
        </w:rPr>
      </w:pPr>
      <w:r w:rsidRPr="00177969">
        <w:rPr>
          <w:rFonts w:ascii="Times New Roman" w:hAnsi="Times New Roman" w:cs="Times New Roman"/>
        </w:rPr>
        <w:t>Teknik şartnamenin her sayfası Proje Yürütücüsü tarafından imzalanmalıdır.</w:t>
      </w:r>
    </w:p>
    <w:p w:rsidR="001E5476" w:rsidRPr="00F035D5" w:rsidRDefault="001E5476" w:rsidP="00F035D5"/>
    <w:sectPr w:rsidR="001E5476" w:rsidRPr="00F035D5" w:rsidSect="00860799">
      <w:headerReference w:type="default" r:id="rId7"/>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00" w:rsidRDefault="00C52900">
      <w:pPr>
        <w:spacing w:line="240" w:lineRule="auto"/>
      </w:pPr>
      <w:r>
        <w:separator/>
      </w:r>
    </w:p>
  </w:endnote>
  <w:endnote w:type="continuationSeparator" w:id="0">
    <w:p w:rsidR="00C52900" w:rsidRDefault="00C52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00" w:rsidRDefault="00C52900">
      <w:pPr>
        <w:spacing w:line="240" w:lineRule="auto"/>
      </w:pPr>
      <w:r>
        <w:separator/>
      </w:r>
    </w:p>
  </w:footnote>
  <w:footnote w:type="continuationSeparator" w:id="0">
    <w:p w:rsidR="00C52900" w:rsidRDefault="00C529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DF0" w:rsidRDefault="00550DF0" w:rsidP="00D37D64">
    <w:pPr>
      <w:pStyle w:val="stBilgi"/>
      <w:rPr>
        <w:sz w:val="4"/>
        <w:szCs w:val="4"/>
      </w:rPr>
    </w:pPr>
  </w:p>
  <w:p w:rsidR="007C313E" w:rsidRDefault="007C313E" w:rsidP="00D37D64">
    <w:pPr>
      <w:pStyle w:val="stBilgi"/>
      <w:rPr>
        <w:sz w:val="4"/>
        <w:szCs w:val="4"/>
      </w:rPr>
    </w:pPr>
  </w:p>
  <w:p w:rsidR="007C313E" w:rsidRDefault="007C313E" w:rsidP="00D37D64">
    <w:pPr>
      <w:pStyle w:val="stBilgi"/>
      <w:rPr>
        <w:sz w:val="4"/>
        <w:szCs w:val="4"/>
      </w:rPr>
    </w:pPr>
  </w:p>
  <w:p w:rsidR="00726D05" w:rsidRDefault="00726D05" w:rsidP="00D37D64">
    <w:pPr>
      <w:pStyle w:val="stBilgi"/>
      <w:rPr>
        <w:sz w:val="4"/>
        <w:szCs w:val="4"/>
      </w:rPr>
    </w:pPr>
  </w:p>
  <w:p w:rsidR="007C313E" w:rsidRDefault="007C313E" w:rsidP="00D37D64">
    <w:pPr>
      <w:pStyle w:val="stBilgi"/>
      <w:rPr>
        <w:sz w:val="4"/>
        <w:szCs w:val="4"/>
      </w:rPr>
    </w:pPr>
  </w:p>
  <w:p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0A29EF4C" wp14:editId="05CDFC5F">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9EF4C"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" filled="f" stroked="f">
              <v:textbo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4A7747" w:rsidRPr="00D37D64" w:rsidTr="00060EB5">
      <w:trPr>
        <w:trHeight w:val="561"/>
        <w:jc w:val="center"/>
      </w:trPr>
      <w:tc>
        <w:tcPr>
          <w:tcW w:w="1149" w:type="pct"/>
          <w:vMerge w:val="restart"/>
          <w:shd w:val="clear" w:color="auto" w:fill="auto"/>
        </w:tcPr>
        <w:p w:rsidR="00AE1414" w:rsidRDefault="00AE1414" w:rsidP="004A7747">
          <w:pPr>
            <w:rPr>
              <w:rFonts w:asciiTheme="majorBidi" w:hAnsiTheme="majorBidi" w:cstheme="majorBidi"/>
              <w:sz w:val="4"/>
              <w:szCs w:val="4"/>
            </w:rPr>
          </w:pPr>
        </w:p>
        <w:p w:rsidR="00AE1414" w:rsidRDefault="00AE1414" w:rsidP="004A7747">
          <w:pPr>
            <w:rPr>
              <w:rFonts w:asciiTheme="majorBidi" w:hAnsiTheme="majorBidi" w:cstheme="majorBidi"/>
              <w:sz w:val="4"/>
              <w:szCs w:val="4"/>
            </w:rPr>
          </w:pPr>
        </w:p>
        <w:p w:rsidR="00AE1414" w:rsidRDefault="00AE1414" w:rsidP="004A7747">
          <w:pPr>
            <w:rPr>
              <w:rFonts w:asciiTheme="majorBidi" w:hAnsiTheme="majorBidi" w:cstheme="majorBidi"/>
              <w:sz w:val="4"/>
              <w:szCs w:val="4"/>
            </w:rPr>
          </w:pPr>
        </w:p>
        <w:p w:rsidR="000226D6" w:rsidRDefault="000226D6" w:rsidP="004A7747">
          <w:pPr>
            <w:rPr>
              <w:rFonts w:asciiTheme="majorBidi" w:hAnsiTheme="majorBidi" w:cstheme="majorBidi"/>
              <w:sz w:val="4"/>
              <w:szCs w:val="4"/>
            </w:rPr>
          </w:pPr>
        </w:p>
        <w:p w:rsidR="004A7747" w:rsidRPr="00D37D64" w:rsidRDefault="004A7747" w:rsidP="004A7747">
          <w:pPr>
            <w:rPr>
              <w:rFonts w:asciiTheme="majorBidi" w:hAnsiTheme="majorBidi" w:cstheme="majorBidi"/>
              <w:sz w:val="4"/>
              <w:szCs w:val="4"/>
            </w:rPr>
          </w:pPr>
          <w:r w:rsidRPr="00D37D64">
            <w:rPr>
              <w:rFonts w:asciiTheme="majorBidi" w:hAnsiTheme="majorBidi" w:cstheme="majorBidi"/>
              <w:noProof/>
            </w:rPr>
            <w:drawing>
              <wp:inline distT="0" distB="0" distL="0" distR="0">
                <wp:extent cx="1365885" cy="4953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rsidR="004A7747" w:rsidRPr="00D37D64" w:rsidRDefault="004A7747" w:rsidP="004A7747">
          <w:pPr>
            <w:pStyle w:val="AltBilgi"/>
            <w:jc w:val="right"/>
            <w:rPr>
              <w:rFonts w:asciiTheme="majorBidi" w:hAnsiTheme="majorBidi" w:cstheme="majorBidi"/>
              <w:sz w:val="18"/>
              <w:szCs w:val="18"/>
            </w:rPr>
          </w:pPr>
          <w:r w:rsidRPr="00D37D64">
            <w:rPr>
              <w:rStyle w:val="Gl"/>
              <w:rFonts w:asciiTheme="majorBidi" w:hAnsiTheme="majorBidi" w:cstheme="majorBidi"/>
              <w:b w:val="0"/>
              <w:color w:val="002060"/>
              <w:sz w:val="20"/>
              <w:szCs w:val="20"/>
              <w:shd w:val="clear" w:color="auto" w:fill="FFFFFF"/>
            </w:rPr>
            <w:t/>
          </w:r>
          <w:r w:rsidRPr="00D37D64">
            <w:rPr>
              <w:rFonts w:asciiTheme="majorBidi" w:hAnsiTheme="majorBidi" w:cstheme="majorBidi"/>
              <w:color w:val="002060"/>
              <w:sz w:val="19"/>
              <w:szCs w:val="19"/>
              <w:shd w:val="clear" w:color="auto" w:fill="FFFFFF"/>
            </w:rPr>
            <w:t>00.BAP</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22</w:t>
          </w:r>
          <w:r w:rsidRPr="00D37D64">
            <w:rPr>
              <w:rStyle w:val="Gl"/>
              <w:rFonts w:asciiTheme="majorBidi" w:hAnsiTheme="majorBidi" w:cstheme="majorBidi"/>
              <w:b w:val="0"/>
              <w:color w:val="002060"/>
              <w:sz w:val="20"/>
              <w:szCs w:val="20"/>
              <w:shd w:val="clear" w:color="auto" w:fill="FFFFFF"/>
            </w:rPr>
            <w:t xml:space="preserve"> - </w:t>
          </w:r>
          <w:r w:rsidRPr="00D37D64">
            <w:rPr>
              <w:rFonts w:asciiTheme="majorBidi" w:hAnsiTheme="majorBidi" w:cstheme="majorBidi"/>
              <w:color w:val="002060"/>
              <w:sz w:val="19"/>
              <w:szCs w:val="19"/>
              <w:shd w:val="clear" w:color="auto" w:fill="FFFFFF"/>
            </w:rPr>
            <w:t>1</w:t>
          </w:r>
        </w:p>
      </w:tc>
    </w:tr>
    <w:tr w:rsidR="004A7747" w:rsidRPr="00D37D64" w:rsidTr="00060EB5">
      <w:trPr>
        <w:trHeight w:val="255"/>
        <w:jc w:val="center"/>
      </w:trPr>
      <w:tc>
        <w:tcPr>
          <w:tcW w:w="1149" w:type="pct"/>
          <w:vMerge/>
          <w:shd w:val="clear" w:color="auto" w:fill="auto"/>
        </w:tcPr>
        <w:p w:rsidR="004A7747" w:rsidRPr="00D37D64" w:rsidRDefault="004A7747" w:rsidP="004A7747">
          <w:pPr>
            <w:rPr>
              <w:rFonts w:asciiTheme="majorBidi" w:hAnsiTheme="majorBidi" w:cstheme="majorBidi"/>
              <w:sz w:val="20"/>
              <w:szCs w:val="20"/>
            </w:rPr>
          </w:pPr>
        </w:p>
      </w:tc>
      <w:tc>
        <w:tcPr>
          <w:tcW w:w="2770" w:type="pct"/>
          <w:shd w:val="clear" w:color="auto" w:fill="auto"/>
          <w:vAlign w:val="bottom"/>
        </w:tcPr>
        <w:p w:rsidR="00C47080" w:rsidRDefault="00C47080" w:rsidP="00C47080">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BİLİMSEL ARAŞTIRMA PROJELERİ KOORDİNATÖRLÜĞÜ</w:t>
          </w:r>
        </w:p>
        <w:p w:rsidR="004A7747" w:rsidRPr="00D37D64" w:rsidRDefault="00D86ECB" w:rsidP="00C47080">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2"/>
              <w:szCs w:val="36"/>
            </w:rPr>
            <w:t>TEKNİK ŞARTNAME FORMU</w:t>
          </w:r>
        </w:p>
      </w:tc>
      <w:tc>
        <w:tcPr>
          <w:tcW w:w="1081" w:type="pct"/>
          <w:shd w:val="clear" w:color="auto" w:fill="auto"/>
          <w:noWrap/>
        </w:tcPr>
        <w:p w:rsidR="004A7747" w:rsidRPr="00F81F60" w:rsidRDefault="004A7747" w:rsidP="004A7747">
          <w:pPr>
            <w:jc w:val="right"/>
            <w:rPr>
              <w:rFonts w:asciiTheme="majorBidi" w:eastAsia="Times New Roman" w:hAnsiTheme="majorBidi" w:cstheme="majorBidi"/>
              <w:b/>
              <w:color w:val="1C4587"/>
              <w:sz w:val="8"/>
              <w:szCs w:val="8"/>
            </w:rPr>
          </w:pPr>
        </w:p>
        <w:p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D86ECB">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D86ECB">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rsidR="00E32EC7" w:rsidRDefault="00E32EC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15:restartNumberingAfterBreak="0">
    <w:nsid w:val="526124E3"/>
    <w:multiLevelType w:val="hybridMultilevel"/>
    <w:tmpl w:val="C204A858"/>
    <w:lvl w:ilvl="0" w:tplc="BAE0D6D0">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05"/>
    <w:rsid w:val="0001789F"/>
    <w:rsid w:val="000226D6"/>
    <w:rsid w:val="00042443"/>
    <w:rsid w:val="000529E2"/>
    <w:rsid w:val="0006215A"/>
    <w:rsid w:val="00070FE0"/>
    <w:rsid w:val="0008778E"/>
    <w:rsid w:val="000A0A9B"/>
    <w:rsid w:val="000B19D9"/>
    <w:rsid w:val="000B6778"/>
    <w:rsid w:val="000D51A8"/>
    <w:rsid w:val="000F05F2"/>
    <w:rsid w:val="00142CC3"/>
    <w:rsid w:val="00153252"/>
    <w:rsid w:val="001A0919"/>
    <w:rsid w:val="001D4F34"/>
    <w:rsid w:val="001E459C"/>
    <w:rsid w:val="001E5476"/>
    <w:rsid w:val="001F2B17"/>
    <w:rsid w:val="00202784"/>
    <w:rsid w:val="00205DB8"/>
    <w:rsid w:val="00207A3B"/>
    <w:rsid w:val="002733A4"/>
    <w:rsid w:val="00275AD3"/>
    <w:rsid w:val="00281CA3"/>
    <w:rsid w:val="002B077C"/>
    <w:rsid w:val="002B24B9"/>
    <w:rsid w:val="002C2EE0"/>
    <w:rsid w:val="00304AFE"/>
    <w:rsid w:val="00307362"/>
    <w:rsid w:val="0032172D"/>
    <w:rsid w:val="00343FA9"/>
    <w:rsid w:val="00345C55"/>
    <w:rsid w:val="00347933"/>
    <w:rsid w:val="00381825"/>
    <w:rsid w:val="0039052F"/>
    <w:rsid w:val="00392C28"/>
    <w:rsid w:val="003A1BB9"/>
    <w:rsid w:val="003A2A11"/>
    <w:rsid w:val="003B563F"/>
    <w:rsid w:val="003E325B"/>
    <w:rsid w:val="003E657B"/>
    <w:rsid w:val="00411833"/>
    <w:rsid w:val="00420D7C"/>
    <w:rsid w:val="00424115"/>
    <w:rsid w:val="0043450C"/>
    <w:rsid w:val="004367F8"/>
    <w:rsid w:val="0045326A"/>
    <w:rsid w:val="00455236"/>
    <w:rsid w:val="00475429"/>
    <w:rsid w:val="00485824"/>
    <w:rsid w:val="00493A09"/>
    <w:rsid w:val="00496708"/>
    <w:rsid w:val="004A7747"/>
    <w:rsid w:val="004B46E7"/>
    <w:rsid w:val="0051107C"/>
    <w:rsid w:val="0052442F"/>
    <w:rsid w:val="00550DF0"/>
    <w:rsid w:val="005659F0"/>
    <w:rsid w:val="0058002A"/>
    <w:rsid w:val="00586947"/>
    <w:rsid w:val="005E5063"/>
    <w:rsid w:val="005F72F4"/>
    <w:rsid w:val="00602A88"/>
    <w:rsid w:val="00610358"/>
    <w:rsid w:val="00635025"/>
    <w:rsid w:val="0064243D"/>
    <w:rsid w:val="0064244A"/>
    <w:rsid w:val="0068193A"/>
    <w:rsid w:val="006919C7"/>
    <w:rsid w:val="006A78D5"/>
    <w:rsid w:val="006F5D24"/>
    <w:rsid w:val="006F63DD"/>
    <w:rsid w:val="00706B90"/>
    <w:rsid w:val="00707F4A"/>
    <w:rsid w:val="00715063"/>
    <w:rsid w:val="0071550F"/>
    <w:rsid w:val="00726D05"/>
    <w:rsid w:val="007513B0"/>
    <w:rsid w:val="00761D79"/>
    <w:rsid w:val="00774F16"/>
    <w:rsid w:val="0078419F"/>
    <w:rsid w:val="00791199"/>
    <w:rsid w:val="007C313E"/>
    <w:rsid w:val="007C6A0C"/>
    <w:rsid w:val="007E6408"/>
    <w:rsid w:val="00815E5C"/>
    <w:rsid w:val="00822756"/>
    <w:rsid w:val="00840FBD"/>
    <w:rsid w:val="00842195"/>
    <w:rsid w:val="00857954"/>
    <w:rsid w:val="00860799"/>
    <w:rsid w:val="00860C7E"/>
    <w:rsid w:val="00880735"/>
    <w:rsid w:val="00897C3A"/>
    <w:rsid w:val="008C29A5"/>
    <w:rsid w:val="008D6641"/>
    <w:rsid w:val="008E2BFA"/>
    <w:rsid w:val="008E5DAB"/>
    <w:rsid w:val="00916FF7"/>
    <w:rsid w:val="00924457"/>
    <w:rsid w:val="00926B3D"/>
    <w:rsid w:val="00961DB3"/>
    <w:rsid w:val="009728E8"/>
    <w:rsid w:val="00982F44"/>
    <w:rsid w:val="00993E2B"/>
    <w:rsid w:val="009971E5"/>
    <w:rsid w:val="009C15B6"/>
    <w:rsid w:val="009C4727"/>
    <w:rsid w:val="009D4348"/>
    <w:rsid w:val="009D5535"/>
    <w:rsid w:val="00A101D1"/>
    <w:rsid w:val="00A11AA9"/>
    <w:rsid w:val="00A15E0A"/>
    <w:rsid w:val="00A4409D"/>
    <w:rsid w:val="00A44682"/>
    <w:rsid w:val="00A66620"/>
    <w:rsid w:val="00A743A1"/>
    <w:rsid w:val="00A81794"/>
    <w:rsid w:val="00A94B90"/>
    <w:rsid w:val="00A96E5A"/>
    <w:rsid w:val="00AA0571"/>
    <w:rsid w:val="00AA26C6"/>
    <w:rsid w:val="00AC72F1"/>
    <w:rsid w:val="00AC772C"/>
    <w:rsid w:val="00AE1414"/>
    <w:rsid w:val="00AF6729"/>
    <w:rsid w:val="00B0447D"/>
    <w:rsid w:val="00B06DEB"/>
    <w:rsid w:val="00B2516D"/>
    <w:rsid w:val="00B35379"/>
    <w:rsid w:val="00B96933"/>
    <w:rsid w:val="00BD1C9D"/>
    <w:rsid w:val="00C01E7A"/>
    <w:rsid w:val="00C01F39"/>
    <w:rsid w:val="00C06755"/>
    <w:rsid w:val="00C16301"/>
    <w:rsid w:val="00C27A77"/>
    <w:rsid w:val="00C3481D"/>
    <w:rsid w:val="00C40973"/>
    <w:rsid w:val="00C47080"/>
    <w:rsid w:val="00C52136"/>
    <w:rsid w:val="00C52900"/>
    <w:rsid w:val="00CA25BF"/>
    <w:rsid w:val="00CD2800"/>
    <w:rsid w:val="00CE1405"/>
    <w:rsid w:val="00CE4422"/>
    <w:rsid w:val="00CF4B22"/>
    <w:rsid w:val="00D031E0"/>
    <w:rsid w:val="00D115E5"/>
    <w:rsid w:val="00D21C2A"/>
    <w:rsid w:val="00D27FC8"/>
    <w:rsid w:val="00D37D64"/>
    <w:rsid w:val="00D42280"/>
    <w:rsid w:val="00D52085"/>
    <w:rsid w:val="00D54957"/>
    <w:rsid w:val="00D63C65"/>
    <w:rsid w:val="00D70629"/>
    <w:rsid w:val="00D85353"/>
    <w:rsid w:val="00D86ECB"/>
    <w:rsid w:val="00D931CB"/>
    <w:rsid w:val="00DB619B"/>
    <w:rsid w:val="00DC5294"/>
    <w:rsid w:val="00DD7947"/>
    <w:rsid w:val="00DE733C"/>
    <w:rsid w:val="00E2391D"/>
    <w:rsid w:val="00E2462E"/>
    <w:rsid w:val="00E24B4E"/>
    <w:rsid w:val="00E32EC7"/>
    <w:rsid w:val="00E53CF7"/>
    <w:rsid w:val="00E63D10"/>
    <w:rsid w:val="00E641D8"/>
    <w:rsid w:val="00E6557A"/>
    <w:rsid w:val="00E6655E"/>
    <w:rsid w:val="00E77353"/>
    <w:rsid w:val="00E9085A"/>
    <w:rsid w:val="00E92ADA"/>
    <w:rsid w:val="00E9755D"/>
    <w:rsid w:val="00EA1C75"/>
    <w:rsid w:val="00EA49FF"/>
    <w:rsid w:val="00ED2A45"/>
    <w:rsid w:val="00ED3E3C"/>
    <w:rsid w:val="00F01600"/>
    <w:rsid w:val="00F035D5"/>
    <w:rsid w:val="00F07C82"/>
    <w:rsid w:val="00F10AD4"/>
    <w:rsid w:val="00F2091E"/>
    <w:rsid w:val="00F2354E"/>
    <w:rsid w:val="00F41B98"/>
    <w:rsid w:val="00F50457"/>
    <w:rsid w:val="00F64751"/>
    <w:rsid w:val="00F67171"/>
    <w:rsid w:val="00F72A14"/>
    <w:rsid w:val="00F81F60"/>
    <w:rsid w:val="00F92940"/>
    <w:rsid w:val="00F96CFF"/>
    <w:rsid w:val="00FA225D"/>
    <w:rsid w:val="00FA2926"/>
    <w:rsid w:val="00FA45A2"/>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4CF6C"/>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180</Words>
  <Characters>1029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Sau</cp:lastModifiedBy>
  <cp:revision>7</cp:revision>
  <cp:lastPrinted>2021-06-30T10:55:00Z</cp:lastPrinted>
  <dcterms:created xsi:type="dcterms:W3CDTF">2021-10-13T10:43:00Z</dcterms:created>
  <dcterms:modified xsi:type="dcterms:W3CDTF">2021-10-20T12:30:00Z</dcterms:modified>
</cp:coreProperties>
</file>